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before="240" w:after="87"/>
        <w:jc w:val="center"/>
        <w:outlineLvl w:val="0"/>
        <w:rPr>
          <w:rFonts w:ascii="黑体" w:hAnsi="黑体" w:eastAsia="黑体" w:cs="Arial"/>
          <w:bCs/>
          <w:kern w:val="36"/>
          <w:sz w:val="36"/>
          <w:szCs w:val="36"/>
        </w:rPr>
      </w:pPr>
      <w:r>
        <w:rPr>
          <w:rFonts w:ascii="黑体" w:hAnsi="黑体" w:eastAsia="黑体" w:cs="Arial"/>
          <w:bCs/>
          <w:kern w:val="36"/>
          <w:sz w:val="36"/>
          <w:szCs w:val="36"/>
        </w:rPr>
        <w:t>关于《政府采购计划管理系统》数据上报</w:t>
      </w:r>
    </w:p>
    <w:p>
      <w:pPr>
        <w:widowControl/>
        <w:shd w:val="clear" w:color="auto" w:fill="FFFFFF"/>
        <w:spacing w:before="240" w:after="87"/>
        <w:jc w:val="center"/>
        <w:outlineLvl w:val="0"/>
        <w:rPr>
          <w:rFonts w:ascii="黑体" w:hAnsi="黑体" w:eastAsia="黑体" w:cs="Arial"/>
          <w:bCs/>
          <w:kern w:val="36"/>
          <w:sz w:val="36"/>
          <w:szCs w:val="36"/>
        </w:rPr>
      </w:pPr>
      <w:r>
        <w:rPr>
          <w:rFonts w:ascii="黑体" w:hAnsi="黑体" w:eastAsia="黑体" w:cs="Arial"/>
          <w:bCs/>
          <w:kern w:val="36"/>
          <w:sz w:val="36"/>
          <w:szCs w:val="36"/>
        </w:rPr>
        <w:t>工作有关事宜的通知</w:t>
      </w:r>
    </w:p>
    <w:p>
      <w:pPr>
        <w:pStyle w:val="6"/>
        <w:shd w:val="clear" w:color="auto" w:fill="FFFFFF"/>
        <w:spacing w:before="218" w:beforeAutospacing="0" w:after="0" w:afterAutospacing="0"/>
        <w:jc w:val="both"/>
        <w:rPr>
          <w:rFonts w:asciiTheme="majorEastAsia" w:hAnsiTheme="majorEastAsia" w:eastAsiaTheme="majorEastAsia"/>
          <w:b/>
          <w:sz w:val="28"/>
          <w:szCs w:val="28"/>
        </w:rPr>
      </w:pPr>
      <w:r>
        <w:rPr>
          <w:rFonts w:hint="eastAsia" w:asciiTheme="majorEastAsia" w:hAnsiTheme="majorEastAsia" w:eastAsiaTheme="majorEastAsia"/>
          <w:b/>
          <w:sz w:val="28"/>
          <w:szCs w:val="28"/>
        </w:rPr>
        <w:t>各有关部门：</w:t>
      </w:r>
    </w:p>
    <w:p>
      <w:pPr>
        <w:pStyle w:val="6"/>
        <w:shd w:val="clear" w:color="auto" w:fill="FFFFFF"/>
        <w:spacing w:before="0" w:beforeAutospacing="0" w:after="0" w:afterAutospacing="0" w:line="64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根据财政部《关于做好2016年中央预算单位政府采购计划和执行情况及信息统计编报工作的通知》（财库〔2015〕240号）及华侨大学校长办公会《关于落实政府采购相关规定事宜》的有关要求，请各有关部门根据政府采购预算时间安排,通过《政府采购计划管理系统》上报2016年度政府采购计划，为做好此项工作，现将有关注意事项通知如下：</w:t>
      </w:r>
    </w:p>
    <w:p>
      <w:pPr>
        <w:widowControl/>
        <w:shd w:val="clear" w:color="auto" w:fill="FFFFFF"/>
        <w:ind w:firstLine="560"/>
        <w:rPr>
          <w:rFonts w:asciiTheme="majorEastAsia" w:hAnsiTheme="majorEastAsia" w:eastAsiaTheme="majorEastAsia"/>
          <w:b/>
          <w:sz w:val="28"/>
          <w:szCs w:val="28"/>
        </w:rPr>
      </w:pPr>
      <w:r>
        <w:rPr>
          <w:rFonts w:hint="eastAsia" w:asciiTheme="majorEastAsia" w:hAnsiTheme="majorEastAsia" w:eastAsiaTheme="majorEastAsia"/>
          <w:b/>
          <w:sz w:val="28"/>
          <w:szCs w:val="28"/>
        </w:rPr>
        <w:t>一、数据上报过程中各部门职能分工</w:t>
      </w:r>
    </w:p>
    <w:p>
      <w:pPr>
        <w:widowControl/>
        <w:shd w:val="clear" w:color="auto" w:fill="FFFFFF"/>
        <w:ind w:firstLine="560"/>
        <w:rPr>
          <w:rFonts w:cs="宋体" w:asciiTheme="majorEastAsia" w:hAnsiTheme="majorEastAsia" w:eastAsiaTheme="majorEastAsia"/>
          <w:kern w:val="0"/>
          <w:sz w:val="28"/>
          <w:szCs w:val="28"/>
        </w:rPr>
      </w:pPr>
      <w:r>
        <w:rPr>
          <w:rFonts w:hint="eastAsia" w:asciiTheme="majorEastAsia" w:hAnsiTheme="majorEastAsia" w:eastAsiaTheme="majorEastAsia"/>
          <w:sz w:val="28"/>
          <w:szCs w:val="28"/>
        </w:rPr>
        <w:t>各有关部门根据本年度政府采购的项目及金额，通过《政府采购计划管理系统》编报至各归口管理部门，各归口管理部门负责汇总上报国侨办，</w:t>
      </w:r>
      <w:r>
        <w:rPr>
          <w:rFonts w:hint="eastAsia" w:cs="宋体" w:asciiTheme="majorEastAsia" w:hAnsiTheme="majorEastAsia" w:eastAsiaTheme="majorEastAsia"/>
          <w:kern w:val="0"/>
          <w:sz w:val="28"/>
          <w:szCs w:val="28"/>
        </w:rPr>
        <w:t>货物类、服务类等购置项目归口管理部门为实验室与设备管理处；基本建设、维修改造等工程类项目归口管理部门为基建处。</w:t>
      </w:r>
    </w:p>
    <w:p>
      <w:pPr>
        <w:pStyle w:val="6"/>
        <w:shd w:val="clear" w:color="auto" w:fill="FFFFFF"/>
        <w:spacing w:before="0" w:beforeAutospacing="0" w:after="0" w:afterAutospacing="0" w:line="64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 xml:space="preserve">    二、政府采购计划编报的分类及范围要求</w:t>
      </w:r>
    </w:p>
    <w:p>
      <w:pPr>
        <w:widowControl/>
        <w:ind w:firstLine="6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采购计划的编报参照政府采购的分类由三部分组成，分别为货物类（设施设备等）、工程类（基建、维修修缮、系统集成与网络工程等）、服务类（工程设计、印刷、出版、咨询、会议、保险、软件开发等）。</w:t>
      </w:r>
    </w:p>
    <w:p>
      <w:pPr>
        <w:pStyle w:val="6"/>
        <w:shd w:val="clear" w:color="auto" w:fill="FFFFFF"/>
        <w:spacing w:before="218" w:beforeAutospacing="0" w:after="0" w:afterAutospacing="0"/>
        <w:ind w:firstLine="480"/>
        <w:rPr>
          <w:rFonts w:asciiTheme="majorEastAsia" w:hAnsiTheme="majorEastAsia" w:eastAsiaTheme="majorEastAsia"/>
          <w:sz w:val="28"/>
          <w:szCs w:val="28"/>
        </w:rPr>
      </w:pPr>
      <w:r>
        <w:rPr>
          <w:rFonts w:hint="eastAsia" w:asciiTheme="majorEastAsia" w:hAnsiTheme="majorEastAsia" w:eastAsiaTheme="majorEastAsia"/>
          <w:sz w:val="28"/>
          <w:szCs w:val="28"/>
        </w:rPr>
        <w:t>2、凡是纳入政府集中采购目录以内的项目，不分金额大小均需编报。《政府集中采购目录》详见</w:t>
      </w:r>
      <w:r>
        <w:rPr>
          <w:rFonts w:asciiTheme="majorEastAsia" w:hAnsiTheme="majorEastAsia" w:eastAsiaTheme="majorEastAsia"/>
          <w:sz w:val="28"/>
          <w:szCs w:val="28"/>
        </w:rPr>
        <w:t xml:space="preserve">buy.hqu.edu.cn/zcfg/2015-11-05/4564.html </w:t>
      </w:r>
    </w:p>
    <w:p>
      <w:pPr>
        <w:pStyle w:val="6"/>
        <w:shd w:val="clear" w:color="auto" w:fill="FFFFFF"/>
        <w:spacing w:before="218" w:beforeAutospacing="0" w:after="0" w:afterAutospacing="0"/>
        <w:ind w:firstLine="480"/>
        <w:jc w:val="both"/>
        <w:rPr>
          <w:rFonts w:asciiTheme="majorEastAsia" w:hAnsiTheme="majorEastAsia" w:eastAsiaTheme="majorEastAsia"/>
          <w:sz w:val="28"/>
          <w:szCs w:val="28"/>
        </w:rPr>
      </w:pPr>
      <w:r>
        <w:rPr>
          <w:rFonts w:hint="eastAsia" w:asciiTheme="majorEastAsia" w:hAnsiTheme="majorEastAsia" w:eastAsiaTheme="majorEastAsia"/>
          <w:sz w:val="28"/>
          <w:szCs w:val="28"/>
        </w:rPr>
        <w:t>3、目录以外单项或批量50万元以上的货物和服务类类项目、60万元以上的工程类项目也必须编报。</w:t>
      </w:r>
    </w:p>
    <w:p>
      <w:pPr>
        <w:widowControl/>
        <w:ind w:firstLine="551" w:firstLineChars="196"/>
        <w:jc w:val="left"/>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三、</w:t>
      </w:r>
      <w:r>
        <w:rPr>
          <w:rFonts w:hint="eastAsia" w:asciiTheme="majorEastAsia" w:hAnsiTheme="majorEastAsia" w:eastAsiaTheme="majorEastAsia"/>
          <w:b/>
          <w:sz w:val="28"/>
          <w:szCs w:val="28"/>
        </w:rPr>
        <w:t>政府</w:t>
      </w:r>
      <w:r>
        <w:rPr>
          <w:rFonts w:hint="eastAsia" w:cs="宋体" w:asciiTheme="majorEastAsia" w:hAnsiTheme="majorEastAsia" w:eastAsiaTheme="majorEastAsia"/>
          <w:b/>
          <w:kern w:val="0"/>
          <w:sz w:val="28"/>
          <w:szCs w:val="28"/>
        </w:rPr>
        <w:t>采购计划编报流程</w:t>
      </w:r>
    </w:p>
    <w:p>
      <w:pPr>
        <w:widowControl/>
        <w:shd w:val="clear" w:color="auto" w:fill="FFFFFF"/>
        <w:ind w:firstLine="56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1、各部门指定专人向实验室与设备管理处采购中心领取</w:t>
      </w:r>
      <w:r>
        <w:rPr>
          <w:rFonts w:cs="宋体" w:asciiTheme="majorEastAsia" w:hAnsiTheme="majorEastAsia" w:eastAsiaTheme="majorEastAsia"/>
          <w:kern w:val="0"/>
          <w:sz w:val="28"/>
          <w:szCs w:val="28"/>
        </w:rPr>
        <w:t>U</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Key</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U</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Key</w:t>
      </w:r>
      <w:r>
        <w:rPr>
          <w:rFonts w:hint="eastAsia" w:cs="宋体" w:asciiTheme="majorEastAsia" w:hAnsiTheme="majorEastAsia" w:eastAsiaTheme="majorEastAsia"/>
          <w:kern w:val="0"/>
          <w:sz w:val="28"/>
          <w:szCs w:val="28"/>
        </w:rPr>
        <w:t>为国侨办提供，是登录及编报</w:t>
      </w:r>
      <w:r>
        <w:rPr>
          <w:rFonts w:cs="宋体" w:asciiTheme="majorEastAsia" w:hAnsiTheme="majorEastAsia" w:eastAsiaTheme="majorEastAsia"/>
          <w:kern w:val="0"/>
          <w:sz w:val="28"/>
          <w:szCs w:val="28"/>
        </w:rPr>
        <w:t>采购计划管理系统</w:t>
      </w:r>
      <w:r>
        <w:rPr>
          <w:rFonts w:hint="eastAsia" w:cs="宋体" w:asciiTheme="majorEastAsia" w:hAnsiTheme="majorEastAsia" w:eastAsiaTheme="majorEastAsia"/>
          <w:kern w:val="0"/>
          <w:sz w:val="28"/>
          <w:szCs w:val="28"/>
        </w:rPr>
        <w:t>的密钥，需专人保管，防止丢失，原则上每个职能部门及学院领取一个</w:t>
      </w:r>
      <w:r>
        <w:rPr>
          <w:rFonts w:cs="宋体" w:asciiTheme="majorEastAsia" w:hAnsiTheme="majorEastAsia" w:eastAsiaTheme="majorEastAsia"/>
          <w:kern w:val="0"/>
          <w:sz w:val="28"/>
          <w:szCs w:val="28"/>
        </w:rPr>
        <w:t>U</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Key</w:t>
      </w:r>
      <w:r>
        <w:rPr>
          <w:rFonts w:hint="eastAsia" w:cs="宋体" w:asciiTheme="majorEastAsia" w:hAnsiTheme="majorEastAsia" w:eastAsiaTheme="majorEastAsia"/>
          <w:kern w:val="0"/>
          <w:sz w:val="28"/>
          <w:szCs w:val="28"/>
        </w:rPr>
        <w:t>，但可供多人使用。</w:t>
      </w:r>
    </w:p>
    <w:p>
      <w:pPr>
        <w:widowControl/>
        <w:shd w:val="clear" w:color="auto" w:fill="FFFFFF"/>
        <w:ind w:firstLine="56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2、各部门按规定时间和要求，</w:t>
      </w:r>
      <w:r>
        <w:rPr>
          <w:rFonts w:cs="宋体" w:asciiTheme="majorEastAsia" w:hAnsiTheme="majorEastAsia" w:eastAsiaTheme="majorEastAsia"/>
          <w:kern w:val="0"/>
          <w:sz w:val="28"/>
          <w:szCs w:val="28"/>
        </w:rPr>
        <w:t>通过U</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Key登陆</w:t>
      </w:r>
      <w:r>
        <w:rPr>
          <w:rFonts w:hint="eastAsia" w:cs="宋体" w:asciiTheme="majorEastAsia" w:hAnsiTheme="majorEastAsia" w:eastAsiaTheme="majorEastAsia"/>
          <w:kern w:val="0"/>
          <w:sz w:val="28"/>
          <w:szCs w:val="28"/>
        </w:rPr>
        <w:t>（账号及密码见附件一）</w:t>
      </w:r>
      <w:r>
        <w:rPr>
          <w:rFonts w:cs="宋体" w:asciiTheme="majorEastAsia" w:hAnsiTheme="majorEastAsia" w:eastAsiaTheme="majorEastAsia"/>
          <w:kern w:val="0"/>
          <w:sz w:val="28"/>
          <w:szCs w:val="28"/>
        </w:rPr>
        <w:t>《政府采购计划管理系统》填报采购计划</w:t>
      </w:r>
      <w:r>
        <w:rPr>
          <w:rFonts w:hint="eastAsia" w:cs="宋体" w:asciiTheme="majorEastAsia" w:hAnsiTheme="majorEastAsia" w:eastAsiaTheme="majorEastAsia"/>
          <w:kern w:val="0"/>
          <w:sz w:val="28"/>
          <w:szCs w:val="28"/>
        </w:rPr>
        <w:t>。填报完成后需编报到归口管理部门汇总后上报国侨办。</w:t>
      </w:r>
    </w:p>
    <w:p>
      <w:pPr>
        <w:widowControl/>
        <w:shd w:val="clear" w:color="auto" w:fill="FFFFFF"/>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3、编报时间为：凡是纳入政府集中采购目录内的</w:t>
      </w:r>
      <w:r>
        <w:rPr>
          <w:rFonts w:hint="eastAsia" w:asciiTheme="majorEastAsia" w:hAnsiTheme="majorEastAsia" w:eastAsiaTheme="majorEastAsia"/>
          <w:bCs/>
          <w:sz w:val="28"/>
          <w:szCs w:val="28"/>
        </w:rPr>
        <w:t>台式计算机、便携式计算机、打印机、复印机和空调机五大类因为要</w:t>
      </w:r>
      <w:r>
        <w:rPr>
          <w:rFonts w:hint="eastAsia" w:asciiTheme="majorEastAsia" w:hAnsiTheme="majorEastAsia" w:eastAsiaTheme="majorEastAsia"/>
          <w:sz w:val="28"/>
          <w:szCs w:val="28"/>
        </w:rPr>
        <w:t>实施批量集中采购，各部门需按月</w:t>
      </w:r>
      <w:r>
        <w:rPr>
          <w:rFonts w:hint="eastAsia" w:asciiTheme="majorEastAsia" w:hAnsiTheme="majorEastAsia" w:eastAsiaTheme="majorEastAsia"/>
          <w:bCs/>
          <w:sz w:val="28"/>
          <w:szCs w:val="28"/>
        </w:rPr>
        <w:t>（每月3日前）</w:t>
      </w:r>
      <w:r>
        <w:rPr>
          <w:rFonts w:hint="eastAsia" w:asciiTheme="majorEastAsia" w:hAnsiTheme="majorEastAsia" w:eastAsiaTheme="majorEastAsia"/>
          <w:sz w:val="28"/>
          <w:szCs w:val="28"/>
        </w:rPr>
        <w:t>报送下月采购计划至</w:t>
      </w:r>
      <w:r>
        <w:rPr>
          <w:rFonts w:asciiTheme="majorEastAsia" w:hAnsiTheme="majorEastAsia" w:eastAsiaTheme="majorEastAsia"/>
          <w:sz w:val="28"/>
          <w:szCs w:val="28"/>
        </w:rPr>
        <w:t>归口管理部门，</w:t>
      </w:r>
      <w:r>
        <w:rPr>
          <w:rFonts w:hint="eastAsia" w:asciiTheme="majorEastAsia" w:hAnsiTheme="majorEastAsia" w:eastAsiaTheme="majorEastAsia"/>
          <w:sz w:val="28"/>
          <w:szCs w:val="28"/>
        </w:rPr>
        <w:t>由</w:t>
      </w:r>
      <w:r>
        <w:rPr>
          <w:rFonts w:asciiTheme="majorEastAsia" w:hAnsiTheme="majorEastAsia" w:eastAsiaTheme="majorEastAsia"/>
          <w:sz w:val="28"/>
          <w:szCs w:val="28"/>
        </w:rPr>
        <w:t>归口管理部门将政府采购计划在每月5日前上报国侨办，由国侨办汇总到财政部进行批量集中采购；</w:t>
      </w:r>
      <w:r>
        <w:rPr>
          <w:rFonts w:hint="eastAsia" w:asciiTheme="majorEastAsia" w:hAnsiTheme="majorEastAsia" w:eastAsiaTheme="majorEastAsia"/>
          <w:sz w:val="28"/>
          <w:szCs w:val="28"/>
        </w:rPr>
        <w:t>目录内其他项目及</w:t>
      </w:r>
      <w:r>
        <w:rPr>
          <w:rFonts w:asciiTheme="majorEastAsia" w:hAnsiTheme="majorEastAsia" w:eastAsiaTheme="majorEastAsia"/>
          <w:sz w:val="28"/>
          <w:szCs w:val="28"/>
        </w:rPr>
        <w:t>目录外</w:t>
      </w:r>
      <w:r>
        <w:rPr>
          <w:rFonts w:hint="eastAsia" w:asciiTheme="majorEastAsia" w:hAnsiTheme="majorEastAsia" w:eastAsiaTheme="majorEastAsia"/>
          <w:sz w:val="28"/>
          <w:szCs w:val="28"/>
        </w:rPr>
        <w:t>项目，各单位</w:t>
      </w:r>
      <w:r>
        <w:rPr>
          <w:rFonts w:asciiTheme="majorEastAsia" w:hAnsiTheme="majorEastAsia" w:eastAsiaTheme="majorEastAsia"/>
          <w:sz w:val="28"/>
          <w:szCs w:val="28"/>
        </w:rPr>
        <w:t>在经费下达后</w:t>
      </w:r>
      <w:r>
        <w:rPr>
          <w:rFonts w:hint="eastAsia" w:asciiTheme="majorEastAsia" w:hAnsiTheme="majorEastAsia" w:eastAsiaTheme="majorEastAsia"/>
          <w:sz w:val="28"/>
          <w:szCs w:val="28"/>
        </w:rPr>
        <w:t>，为不影响采购进度，应及时</w:t>
      </w:r>
      <w:r>
        <w:rPr>
          <w:rFonts w:asciiTheme="majorEastAsia" w:hAnsiTheme="majorEastAsia" w:eastAsiaTheme="majorEastAsia"/>
          <w:sz w:val="28"/>
          <w:szCs w:val="28"/>
        </w:rPr>
        <w:t>按项目</w:t>
      </w:r>
      <w:r>
        <w:rPr>
          <w:rFonts w:hint="eastAsia" w:asciiTheme="majorEastAsia" w:hAnsiTheme="majorEastAsia" w:eastAsiaTheme="majorEastAsia"/>
          <w:sz w:val="28"/>
          <w:szCs w:val="28"/>
        </w:rPr>
        <w:t>类编</w:t>
      </w:r>
      <w:r>
        <w:rPr>
          <w:rFonts w:asciiTheme="majorEastAsia" w:hAnsiTheme="majorEastAsia" w:eastAsiaTheme="majorEastAsia"/>
          <w:sz w:val="28"/>
          <w:szCs w:val="28"/>
        </w:rPr>
        <w:t>报以便财政部备案及审批</w:t>
      </w:r>
      <w:r>
        <w:rPr>
          <w:rFonts w:hint="eastAsia" w:asciiTheme="majorEastAsia" w:hAnsiTheme="majorEastAsia" w:eastAsiaTheme="majorEastAsia"/>
          <w:sz w:val="28"/>
          <w:szCs w:val="28"/>
        </w:rPr>
        <w:t>。如遇节假日和周末，各部门在放假和休息日前编报。</w:t>
      </w:r>
    </w:p>
    <w:p>
      <w:pPr>
        <w:pStyle w:val="6"/>
        <w:shd w:val="clear" w:color="auto" w:fill="FFFFFF"/>
        <w:spacing w:before="218" w:beforeAutospacing="0" w:after="0" w:afterAutospacing="0"/>
        <w:ind w:firstLine="480"/>
        <w:rPr>
          <w:rFonts w:asciiTheme="majorEastAsia" w:hAnsiTheme="majorEastAsia" w:eastAsiaTheme="majorEastAsia"/>
          <w:sz w:val="28"/>
          <w:szCs w:val="28"/>
        </w:rPr>
      </w:pPr>
      <w:r>
        <w:rPr>
          <w:rFonts w:hint="eastAsia" w:asciiTheme="majorEastAsia" w:hAnsiTheme="majorEastAsia" w:eastAsiaTheme="majorEastAsia"/>
          <w:sz w:val="28"/>
          <w:szCs w:val="28"/>
        </w:rPr>
        <w:t>4、各部门在完成政府采购计划项目并签订政府采购合同后，应及时将采购申请执行情况填报到《政府采购计划管理系统》。</w:t>
      </w:r>
    </w:p>
    <w:p>
      <w:pPr>
        <w:pStyle w:val="6"/>
        <w:shd w:val="clear" w:color="auto" w:fill="FFFFFF"/>
        <w:spacing w:before="218" w:beforeAutospacing="0" w:after="0" w:afterAutospacing="0"/>
        <w:ind w:firstLine="480"/>
        <w:rPr>
          <w:rFonts w:asciiTheme="majorEastAsia" w:hAnsiTheme="majorEastAsia" w:eastAsiaTheme="majorEastAsia"/>
          <w:sz w:val="28"/>
          <w:szCs w:val="28"/>
        </w:rPr>
      </w:pPr>
      <w:r>
        <w:rPr>
          <w:rFonts w:hint="eastAsia" w:asciiTheme="majorEastAsia" w:hAnsiTheme="majorEastAsia" w:eastAsiaTheme="majorEastAsia"/>
          <w:sz w:val="28"/>
          <w:szCs w:val="28"/>
        </w:rPr>
        <w:t>5、每季度第一个月5日前，各部门按季度生成计划执行情况生成表和信息统计报表。</w:t>
      </w:r>
    </w:p>
    <w:p>
      <w:pPr>
        <w:pStyle w:val="6"/>
        <w:shd w:val="clear" w:color="auto" w:fill="FFFFFF"/>
        <w:spacing w:before="218" w:beforeAutospacing="0" w:after="0" w:afterAutospacing="0"/>
        <w:ind w:firstLine="480"/>
        <w:rPr>
          <w:rFonts w:asciiTheme="majorEastAsia" w:hAnsiTheme="majorEastAsia" w:eastAsiaTheme="majorEastAsia"/>
          <w:b/>
          <w:sz w:val="28"/>
          <w:szCs w:val="28"/>
        </w:rPr>
      </w:pPr>
    </w:p>
    <w:p>
      <w:pPr>
        <w:pStyle w:val="6"/>
        <w:shd w:val="clear" w:color="auto" w:fill="FFFFFF"/>
        <w:spacing w:before="218" w:beforeAutospacing="0" w:after="0" w:afterAutospacing="0"/>
        <w:ind w:firstLine="480"/>
        <w:rPr>
          <w:rFonts w:asciiTheme="majorEastAsia" w:hAnsiTheme="majorEastAsia" w:eastAsiaTheme="majorEastAsia"/>
          <w:sz w:val="28"/>
          <w:szCs w:val="28"/>
        </w:rPr>
      </w:pPr>
      <w:r>
        <w:rPr>
          <w:rFonts w:hint="eastAsia" w:asciiTheme="majorEastAsia" w:hAnsiTheme="majorEastAsia" w:eastAsiaTheme="majorEastAsia"/>
          <w:b/>
          <w:sz w:val="28"/>
          <w:szCs w:val="28"/>
        </w:rPr>
        <w:t>四、政府采购计划的编报及参数的编制要求</w:t>
      </w:r>
    </w:p>
    <w:p>
      <w:pPr>
        <w:pStyle w:val="6"/>
        <w:shd w:val="clear" w:color="auto" w:fill="FFFFFF"/>
        <w:spacing w:before="218" w:beforeAutospacing="0" w:after="0" w:afterAutospacing="0"/>
        <w:ind w:firstLine="480"/>
        <w:jc w:val="both"/>
        <w:rPr>
          <w:rFonts w:asciiTheme="majorEastAsia" w:hAnsiTheme="majorEastAsia" w:eastAsiaTheme="majorEastAsia"/>
          <w:sz w:val="28"/>
          <w:szCs w:val="28"/>
        </w:rPr>
      </w:pPr>
      <w:r>
        <w:rPr>
          <w:rFonts w:hint="eastAsia" w:asciiTheme="majorEastAsia" w:hAnsiTheme="majorEastAsia" w:eastAsiaTheme="majorEastAsia"/>
          <w:sz w:val="28"/>
          <w:szCs w:val="28"/>
        </w:rPr>
        <w:t>1、各部门在编制采购计划时，应结合实际采购需求将预算项目细化为可执行的采购项目，但不得将同一品目或类别的采购项目拆分为多个</w:t>
      </w:r>
      <w:r>
        <w:rPr>
          <w:rFonts w:hint="eastAsia" w:asciiTheme="majorEastAsia" w:hAnsiTheme="majorEastAsia" w:eastAsiaTheme="majorEastAsia"/>
          <w:sz w:val="28"/>
          <w:szCs w:val="28"/>
          <w:lang w:eastAsia="zh-CN"/>
        </w:rPr>
        <w:t>政府</w:t>
      </w:r>
      <w:bookmarkStart w:id="0" w:name="_GoBack"/>
      <w:bookmarkEnd w:id="0"/>
      <w:r>
        <w:rPr>
          <w:rFonts w:hint="eastAsia" w:asciiTheme="majorEastAsia" w:hAnsiTheme="majorEastAsia" w:eastAsiaTheme="majorEastAsia"/>
          <w:sz w:val="28"/>
          <w:szCs w:val="28"/>
        </w:rPr>
        <w:t>采购限额或公开招标数额标准以下的项目，规避政府采购和公开招标。</w:t>
      </w:r>
    </w:p>
    <w:p>
      <w:pPr>
        <w:pStyle w:val="6"/>
        <w:shd w:val="clear" w:color="auto" w:fill="FFFFFF"/>
        <w:spacing w:before="218" w:beforeAutospacing="0" w:after="0" w:afterAutospacing="0"/>
        <w:ind w:firstLine="480"/>
        <w:jc w:val="both"/>
        <w:rPr>
          <w:rFonts w:asciiTheme="majorEastAsia" w:hAnsiTheme="majorEastAsia" w:eastAsiaTheme="majorEastAsia"/>
          <w:sz w:val="28"/>
          <w:szCs w:val="28"/>
        </w:rPr>
      </w:pPr>
      <w:r>
        <w:rPr>
          <w:rFonts w:hint="eastAsia" w:asciiTheme="majorEastAsia" w:hAnsiTheme="majorEastAsia" w:eastAsiaTheme="majorEastAsia"/>
          <w:sz w:val="28"/>
          <w:szCs w:val="28"/>
        </w:rPr>
        <w:t>2、编报的计划要科学、详细、具体，各相关部门应加强前期的市场调查和项目论证工作，力求技术规格要求科学、全面、详细，货物类至少要参考三个或以上的品牌，不得按照一个品牌的技术要求填写，更不得有针对某一潜在供应商或排斥某一潜在供应商的内容。</w:t>
      </w:r>
    </w:p>
    <w:p>
      <w:pPr>
        <w:pStyle w:val="6"/>
        <w:shd w:val="clear" w:color="auto" w:fill="FFFFFF"/>
        <w:spacing w:before="218" w:beforeAutospacing="0" w:after="0" w:afterAutospacing="0"/>
        <w:ind w:firstLine="480"/>
        <w:jc w:val="both"/>
        <w:rPr>
          <w:rFonts w:asciiTheme="majorEastAsia" w:hAnsiTheme="majorEastAsia" w:eastAsiaTheme="majorEastAsia"/>
          <w:sz w:val="28"/>
          <w:szCs w:val="28"/>
        </w:rPr>
      </w:pPr>
      <w:r>
        <w:rPr>
          <w:rFonts w:hint="eastAsia" w:asciiTheme="majorEastAsia" w:hAnsiTheme="majorEastAsia" w:eastAsiaTheme="majorEastAsia"/>
          <w:sz w:val="28"/>
          <w:szCs w:val="28"/>
        </w:rPr>
        <w:t>3、进口仪器设备采购应按我校《关于印发华侨大学进口仪器设备管理办法的通知》，进行论证与审核，采购≥50万元的进口仪器设备，需在编报预算时及时上传论证材料，经财政部审核后才能购买。</w:t>
      </w:r>
    </w:p>
    <w:p>
      <w:pPr>
        <w:pStyle w:val="6"/>
        <w:shd w:val="clear" w:color="auto" w:fill="FFFFFF"/>
        <w:spacing w:before="218" w:beforeAutospacing="0" w:after="0" w:afterAutospacing="0"/>
        <w:ind w:firstLine="480"/>
        <w:jc w:val="both"/>
        <w:rPr>
          <w:rFonts w:asciiTheme="majorEastAsia" w:hAnsiTheme="majorEastAsia" w:eastAsiaTheme="majorEastAsia"/>
          <w:sz w:val="28"/>
          <w:szCs w:val="28"/>
        </w:rPr>
      </w:pPr>
      <w:r>
        <w:rPr>
          <w:rFonts w:hint="eastAsia" w:asciiTheme="majorEastAsia" w:hAnsiTheme="majorEastAsia" w:eastAsiaTheme="majorEastAsia"/>
          <w:sz w:val="28"/>
          <w:szCs w:val="28"/>
        </w:rPr>
        <w:t>4、各有关部门要树立“无预算不采购”的意识</w:t>
      </w:r>
      <w:r>
        <w:rPr>
          <w:rFonts w:asciiTheme="majorEastAsia" w:hAnsiTheme="majorEastAsia" w:eastAsiaTheme="majorEastAsia"/>
          <w:sz w:val="28"/>
          <w:szCs w:val="28"/>
        </w:rPr>
        <w:t>,</w:t>
      </w:r>
      <w:r>
        <w:rPr>
          <w:rFonts w:hint="eastAsia" w:asciiTheme="majorEastAsia" w:hAnsiTheme="majorEastAsia" w:eastAsiaTheme="majorEastAsia"/>
          <w:sz w:val="28"/>
          <w:szCs w:val="28"/>
        </w:rPr>
        <w:t>依据政府采购预算编制采购计划如果超期不报，延误政府采购计划上报时间，所造成的后果由各相关部门负责。</w:t>
      </w:r>
    </w:p>
    <w:p>
      <w:pPr>
        <w:rPr>
          <w:rFonts w:hint="eastAsia" w:cs="宋体" w:asciiTheme="majorEastAsia" w:hAnsiTheme="majorEastAsia" w:eastAsiaTheme="majorEastAsia"/>
          <w:b/>
          <w:kern w:val="0"/>
          <w:sz w:val="28"/>
          <w:szCs w:val="28"/>
        </w:rPr>
      </w:pPr>
    </w:p>
    <w:p>
      <w:pP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附件:</w:t>
      </w:r>
      <w:r>
        <w:rPr>
          <w:rFonts w:hint="eastAsia" w:ascii="宋体" w:hAnsi="宋体" w:eastAsia="宋体" w:cs="宋体"/>
          <w:b/>
          <w:bCs/>
          <w:sz w:val="30"/>
          <w:szCs w:val="30"/>
        </w:rPr>
        <w:t xml:space="preserve"> </w:t>
      </w:r>
      <w:r>
        <w:rPr>
          <w:rFonts w:hint="eastAsia" w:cs="宋体" w:asciiTheme="majorEastAsia" w:hAnsiTheme="majorEastAsia" w:eastAsiaTheme="majorEastAsia"/>
          <w:b/>
          <w:kern w:val="0"/>
          <w:sz w:val="28"/>
          <w:szCs w:val="28"/>
        </w:rPr>
        <w:t>《政府采购计划管理系统》上报流程图</w:t>
      </w:r>
    </w:p>
    <w:p>
      <w:pPr/>
    </w:p>
    <w:p>
      <w:pPr/>
    </w:p>
    <w:p>
      <w:pPr/>
    </w:p>
    <w:p>
      <w:pPr>
        <w:tabs>
          <w:tab w:val="left" w:pos="5483"/>
        </w:tabs>
        <w:spacing w:line="440" w:lineRule="exact"/>
        <w:rPr>
          <w:rFonts w:ascii="黑体" w:hAnsi="黑体" w:eastAsia="黑体"/>
          <w:sz w:val="28"/>
          <w:szCs w:val="28"/>
        </w:rPr>
      </w:pPr>
      <w:r>
        <w:tab/>
      </w:r>
      <w:r>
        <w:rPr>
          <w:rFonts w:hint="eastAsia" w:ascii="黑体" w:hAnsi="黑体" w:eastAsia="黑体"/>
          <w:sz w:val="28"/>
          <w:szCs w:val="28"/>
        </w:rPr>
        <w:t xml:space="preserve"> 实验室与设备管理处</w:t>
      </w:r>
    </w:p>
    <w:p>
      <w:pPr>
        <w:tabs>
          <w:tab w:val="left" w:pos="5483"/>
        </w:tabs>
        <w:spacing w:line="440" w:lineRule="exact"/>
        <w:rPr>
          <w:rFonts w:ascii="黑体" w:hAnsi="黑体" w:eastAsia="黑体"/>
          <w:sz w:val="28"/>
          <w:szCs w:val="28"/>
        </w:rPr>
      </w:pPr>
      <w:r>
        <w:rPr>
          <w:rFonts w:hint="eastAsia" w:ascii="黑体" w:hAnsi="黑体" w:eastAsia="黑体"/>
          <w:sz w:val="28"/>
          <w:szCs w:val="28"/>
        </w:rPr>
        <w:t xml:space="preserve">                                          2015年1月18日</w:t>
      </w:r>
    </w:p>
    <w:p>
      <w:pPr>
        <w:tabs>
          <w:tab w:val="left" w:pos="5771"/>
        </w:tabs>
      </w:pPr>
      <w:r>
        <w:br w:type="page"/>
      </w:r>
    </w:p>
    <w:p>
      <w:pPr>
        <w:tabs>
          <w:tab w:val="left" w:pos="5771"/>
        </w:tabs>
        <w:rPr>
          <w:rFonts w:hint="eastAsia"/>
          <w:sz w:val="28"/>
          <w:szCs w:val="28"/>
          <w:lang w:eastAsia="zh-CN"/>
        </w:rPr>
      </w:pPr>
      <w:r>
        <w:rPr>
          <w:rFonts w:hint="eastAsia"/>
          <w:sz w:val="28"/>
          <w:szCs w:val="28"/>
          <w:lang w:eastAsia="zh-CN"/>
        </w:rPr>
        <w:t>附件</w:t>
      </w:r>
    </w:p>
    <w:p>
      <w:pPr>
        <w:tabs>
          <w:tab w:val="left" w:pos="5771"/>
        </w:tabs>
        <w:rPr>
          <w:rFonts w:hint="eastAsia" w:eastAsiaTheme="minorEastAsia"/>
          <w:lang w:eastAsia="zh-CN"/>
        </w:rPr>
      </w:pPr>
      <w:r>
        <w:rPr>
          <w:rFonts w:hint="eastAsia" w:eastAsiaTheme="minorEastAsia"/>
          <w:lang w:eastAsia="zh-CN"/>
        </w:rPr>
        <w:drawing>
          <wp:inline distT="0" distB="0" distL="114300" distR="114300">
            <wp:extent cx="5616575" cy="8303260"/>
            <wp:effectExtent l="0" t="0" r="3175" b="2540"/>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6"/>
                    <a:srcRect/>
                    <a:stretch>
                      <a:fillRect/>
                    </a:stretch>
                  </pic:blipFill>
                  <pic:spPr>
                    <a:xfrm>
                      <a:off x="0" y="0"/>
                      <a:ext cx="5616575" cy="8303260"/>
                    </a:xfrm>
                    <a:prstGeom prst="rect">
                      <a:avLst/>
                    </a:prstGeom>
                  </pic:spPr>
                </pic:pic>
              </a:graphicData>
            </a:graphic>
          </wp:inline>
        </w:drawing>
      </w:r>
    </w:p>
    <w:sectPr>
      <w:headerReference r:id="rId3" w:type="default"/>
      <w:headerReference r:id="rId4" w:type="even"/>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altName w:val="Calibri"/>
    <w:panose1 w:val="020F0302020204030204"/>
    <w:charset w:val="00"/>
    <w:family w:val="modern"/>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0E04"/>
    <w:rsid w:val="00003C1C"/>
    <w:rsid w:val="00004CF3"/>
    <w:rsid w:val="00027447"/>
    <w:rsid w:val="0004268F"/>
    <w:rsid w:val="000532F3"/>
    <w:rsid w:val="0008774B"/>
    <w:rsid w:val="000B5402"/>
    <w:rsid w:val="000C16B6"/>
    <w:rsid w:val="000C2B0A"/>
    <w:rsid w:val="001271B7"/>
    <w:rsid w:val="00131732"/>
    <w:rsid w:val="0014002E"/>
    <w:rsid w:val="00156905"/>
    <w:rsid w:val="001C301D"/>
    <w:rsid w:val="001D6E0D"/>
    <w:rsid w:val="001E3BCD"/>
    <w:rsid w:val="001F417B"/>
    <w:rsid w:val="00213C7D"/>
    <w:rsid w:val="002377F6"/>
    <w:rsid w:val="00266A9C"/>
    <w:rsid w:val="00282FC5"/>
    <w:rsid w:val="00285285"/>
    <w:rsid w:val="002A10FB"/>
    <w:rsid w:val="002B7995"/>
    <w:rsid w:val="002F1D14"/>
    <w:rsid w:val="002F1D7B"/>
    <w:rsid w:val="0034024B"/>
    <w:rsid w:val="00351883"/>
    <w:rsid w:val="00360CB1"/>
    <w:rsid w:val="003A5CAC"/>
    <w:rsid w:val="003C48F0"/>
    <w:rsid w:val="003E09A8"/>
    <w:rsid w:val="003F4F68"/>
    <w:rsid w:val="003F7EA3"/>
    <w:rsid w:val="004073A4"/>
    <w:rsid w:val="004300AC"/>
    <w:rsid w:val="004541CA"/>
    <w:rsid w:val="00460F66"/>
    <w:rsid w:val="00462359"/>
    <w:rsid w:val="00485617"/>
    <w:rsid w:val="00485841"/>
    <w:rsid w:val="004D3BD1"/>
    <w:rsid w:val="004E34AC"/>
    <w:rsid w:val="004E7155"/>
    <w:rsid w:val="0053269E"/>
    <w:rsid w:val="00532C29"/>
    <w:rsid w:val="00542A90"/>
    <w:rsid w:val="005A2C83"/>
    <w:rsid w:val="00605EC1"/>
    <w:rsid w:val="00636384"/>
    <w:rsid w:val="00640FC6"/>
    <w:rsid w:val="00653235"/>
    <w:rsid w:val="00657C63"/>
    <w:rsid w:val="00670BE4"/>
    <w:rsid w:val="00673964"/>
    <w:rsid w:val="00692854"/>
    <w:rsid w:val="006F667C"/>
    <w:rsid w:val="00700997"/>
    <w:rsid w:val="00702EDB"/>
    <w:rsid w:val="00705A3B"/>
    <w:rsid w:val="00722DA5"/>
    <w:rsid w:val="00744CAE"/>
    <w:rsid w:val="007D0E04"/>
    <w:rsid w:val="007E081F"/>
    <w:rsid w:val="008001B2"/>
    <w:rsid w:val="008225D6"/>
    <w:rsid w:val="00827A31"/>
    <w:rsid w:val="00833AC1"/>
    <w:rsid w:val="00843CAC"/>
    <w:rsid w:val="00856D8C"/>
    <w:rsid w:val="00861AEF"/>
    <w:rsid w:val="008757C0"/>
    <w:rsid w:val="008B41C2"/>
    <w:rsid w:val="008E1AD4"/>
    <w:rsid w:val="00907852"/>
    <w:rsid w:val="00910621"/>
    <w:rsid w:val="00924B99"/>
    <w:rsid w:val="00933BFC"/>
    <w:rsid w:val="009502A9"/>
    <w:rsid w:val="00966EFA"/>
    <w:rsid w:val="00974EEA"/>
    <w:rsid w:val="009769DC"/>
    <w:rsid w:val="00980A2D"/>
    <w:rsid w:val="0099191B"/>
    <w:rsid w:val="009C7AF8"/>
    <w:rsid w:val="00A0685D"/>
    <w:rsid w:val="00A2765B"/>
    <w:rsid w:val="00A81941"/>
    <w:rsid w:val="00AE159D"/>
    <w:rsid w:val="00B0029A"/>
    <w:rsid w:val="00B038C7"/>
    <w:rsid w:val="00B16043"/>
    <w:rsid w:val="00B7019E"/>
    <w:rsid w:val="00B8136B"/>
    <w:rsid w:val="00BA48AF"/>
    <w:rsid w:val="00BB3BC6"/>
    <w:rsid w:val="00BE1E7E"/>
    <w:rsid w:val="00C531CA"/>
    <w:rsid w:val="00C55251"/>
    <w:rsid w:val="00C70F0B"/>
    <w:rsid w:val="00CA5981"/>
    <w:rsid w:val="00CB1C97"/>
    <w:rsid w:val="00CB6245"/>
    <w:rsid w:val="00CC4522"/>
    <w:rsid w:val="00CD1133"/>
    <w:rsid w:val="00CD38E3"/>
    <w:rsid w:val="00D474A1"/>
    <w:rsid w:val="00D652DF"/>
    <w:rsid w:val="00D95075"/>
    <w:rsid w:val="00DF289F"/>
    <w:rsid w:val="00E20FA1"/>
    <w:rsid w:val="00E2596D"/>
    <w:rsid w:val="00E35505"/>
    <w:rsid w:val="00E45F12"/>
    <w:rsid w:val="00E60F99"/>
    <w:rsid w:val="00E61E4F"/>
    <w:rsid w:val="00E74774"/>
    <w:rsid w:val="00E90C3C"/>
    <w:rsid w:val="00EA7E57"/>
    <w:rsid w:val="00EE1E9D"/>
    <w:rsid w:val="00F01030"/>
    <w:rsid w:val="00F50A5C"/>
    <w:rsid w:val="00F5192A"/>
    <w:rsid w:val="00F676B3"/>
    <w:rsid w:val="00F85634"/>
    <w:rsid w:val="00F93996"/>
    <w:rsid w:val="00FA18A6"/>
    <w:rsid w:val="00FE0E2E"/>
    <w:rsid w:val="01743041"/>
    <w:rsid w:val="130030B9"/>
    <w:rsid w:val="341927D7"/>
    <w:rsid w:val="58D21C48"/>
    <w:rsid w:val="7DE775E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0FC53-2C01-4F56-BAA4-06699AE2A97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241</Words>
  <Characters>1378</Characters>
  <Lines>11</Lines>
  <Paragraphs>3</Paragraphs>
  <ScaleCrop>false</ScaleCrop>
  <LinksUpToDate>false</LinksUpToDate>
  <CharactersWithSpaces>1616</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2016-01-19T01:23:00Z</dcterms:created>
  <dc:creator>雷霆</dc:creator>
  <cp:lastModifiedBy>黄文豪</cp:lastModifiedBy>
  <cp:lastPrinted>2016-01-14T03:06:00Z</cp:lastPrinted>
  <dcterms:modified xsi:type="dcterms:W3CDTF">2016-01-20T02:15:27Z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